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3F0" w:rsidRPr="005403F0" w:rsidRDefault="005403F0" w:rsidP="007713DB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1A0000"/>
          <w:sz w:val="36"/>
          <w:szCs w:val="36"/>
          <w:lang w:eastAsia="ru-RU"/>
        </w:rPr>
      </w:pPr>
      <w:r w:rsidRPr="005403F0">
        <w:rPr>
          <w:rFonts w:ascii="Arial" w:eastAsia="Times New Roman" w:hAnsi="Arial" w:cs="Arial"/>
          <w:b/>
          <w:bCs/>
          <w:color w:val="1A0000"/>
          <w:sz w:val="27"/>
          <w:szCs w:val="27"/>
          <w:lang w:eastAsia="ru-RU"/>
        </w:rPr>
        <w:t>Письмо Минэкономразвития от 22.02.2013 № Д23И-449 по вопросам, касающимся деятельности органов и организации по государственному техническому учету и технической инвентаризации объектов капитального строительства после 1 января 2013 г.</w:t>
      </w:r>
    </w:p>
    <w:p w:rsidR="005403F0" w:rsidRPr="005403F0" w:rsidRDefault="005403F0" w:rsidP="007713DB">
      <w:pPr>
        <w:spacing w:before="100" w:beforeAutospacing="1" w:after="100" w:afterAutospacing="1" w:line="312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1A0000"/>
          <w:sz w:val="27"/>
          <w:szCs w:val="27"/>
          <w:lang w:eastAsia="ru-RU"/>
        </w:rPr>
      </w:pPr>
      <w:r w:rsidRPr="005403F0">
        <w:rPr>
          <w:rFonts w:ascii="Arial" w:eastAsia="Times New Roman" w:hAnsi="Arial" w:cs="Arial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П</w:t>
      </w:r>
      <w:r w:rsidRPr="005403F0">
        <w:rPr>
          <w:rFonts w:ascii="Arial" w:eastAsia="Times New Roman" w:hAnsi="Arial" w:cs="Arial"/>
          <w:b/>
          <w:bCs/>
          <w:color w:val="1F0909"/>
          <w:sz w:val="24"/>
          <w:szCs w:val="24"/>
          <w:lang w:eastAsia="ru-RU"/>
        </w:rPr>
        <w:t>исьмо о деятельности ОТИ с 1 января 2013</w:t>
      </w:r>
      <w:r w:rsidRPr="005403F0">
        <w:rPr>
          <w:rFonts w:ascii="Arial" w:eastAsia="Times New Roman" w:hAnsi="Arial" w:cs="Arial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 </w:t>
      </w:r>
      <w:r w:rsidRPr="005403F0">
        <w:rPr>
          <w:rFonts w:ascii="Arial" w:eastAsia="Times New Roman" w:hAnsi="Arial" w:cs="Arial"/>
          <w:b/>
          <w:bCs/>
          <w:color w:val="1F0909"/>
          <w:sz w:val="24"/>
          <w:szCs w:val="24"/>
          <w:lang w:eastAsia="ru-RU"/>
        </w:rPr>
        <w:t> года</w:t>
      </w:r>
      <w:r w:rsidRPr="005403F0">
        <w:rPr>
          <w:rFonts w:ascii="Arial" w:eastAsia="Times New Roman" w:hAnsi="Arial" w:cs="Arial"/>
          <w:b/>
          <w:bCs/>
          <w:color w:val="1F0909"/>
          <w:sz w:val="24"/>
          <w:lang w:eastAsia="ru-RU"/>
        </w:rPr>
        <w:t> </w:t>
      </w:r>
      <w:r w:rsidRPr="005403F0">
        <w:rPr>
          <w:rFonts w:ascii="Arial" w:eastAsia="Times New Roman" w:hAnsi="Arial" w:cs="Arial"/>
          <w:b/>
          <w:bCs/>
          <w:color w:val="1F0909"/>
          <w:sz w:val="24"/>
          <w:szCs w:val="24"/>
          <w:lang w:eastAsia="ru-RU"/>
        </w:rPr>
        <w:t>О рассмотрении обращения</w:t>
      </w:r>
      <w:r w:rsidRPr="005403F0">
        <w:rPr>
          <w:rFonts w:ascii="Arial" w:eastAsia="Times New Roman" w:hAnsi="Arial" w:cs="Arial"/>
          <w:b/>
          <w:bCs/>
          <w:color w:val="1F0909"/>
          <w:sz w:val="24"/>
          <w:lang w:eastAsia="ru-RU"/>
        </w:rPr>
        <w:t> </w:t>
      </w:r>
      <w:r w:rsidRPr="005403F0">
        <w:rPr>
          <w:rFonts w:ascii="Arial" w:eastAsia="Times New Roman" w:hAnsi="Arial" w:cs="Arial"/>
          <w:b/>
          <w:bCs/>
          <w:color w:val="1F0909"/>
          <w:sz w:val="24"/>
          <w:szCs w:val="24"/>
          <w:lang w:eastAsia="ru-RU"/>
        </w:rPr>
        <w:t>от 22</w:t>
      </w:r>
      <w:r w:rsidRPr="005403F0">
        <w:rPr>
          <w:rFonts w:ascii="Arial" w:eastAsia="Times New Roman" w:hAnsi="Arial" w:cs="Arial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Arial" w:eastAsia="Times New Roman" w:hAnsi="Arial" w:cs="Arial"/>
          <w:b/>
          <w:bCs/>
          <w:color w:val="1F0909"/>
          <w:sz w:val="24"/>
          <w:szCs w:val="24"/>
          <w:lang w:eastAsia="ru-RU"/>
        </w:rPr>
        <w:t>02</w:t>
      </w:r>
      <w:r w:rsidRPr="005403F0">
        <w:rPr>
          <w:rFonts w:ascii="Arial" w:eastAsia="Times New Roman" w:hAnsi="Arial" w:cs="Arial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Arial" w:eastAsia="Times New Roman" w:hAnsi="Arial" w:cs="Arial"/>
          <w:b/>
          <w:bCs/>
          <w:color w:val="1F0909"/>
          <w:sz w:val="24"/>
          <w:szCs w:val="24"/>
          <w:lang w:eastAsia="ru-RU"/>
        </w:rPr>
        <w:t>2013 № Д23и-449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В Департамент недвижимости Минэкономразвития России поступают многочисленные обращения по вопросам, касающимся деятельности органов и организации по государственному техническому учету и технической инвентаризации объектов капитального строительства после 1 января 2013 г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, в том числе обращение Росреестра от 22 января 2013 г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№ О9-исх/00388-ГЕ/13.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7713DB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№ 437, Минэкономразвития России не наделено полномочиями по разъяснению законодательства Российской Федерации, а также практики его применения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Вместе с тем полагаем возможным отметить следующее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1.</w:t>
      </w:r>
      <w:r w:rsidRPr="007713DB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lang w:eastAsia="ru-RU"/>
        </w:rPr>
        <w:t> 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lang w:eastAsia="ru-RU"/>
        </w:rPr>
        <w:t>Об осуществлении аккредитации Росреестром организаций технического учета и технической инвентаризации объектов капитального строительства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С 1 января 2013 г. на всей территории Российской Федерации осуществляется государственный кадастровый учет зданий, сооружений, помещений, объектов незавершенного строительства и положения нормативных правовых актов в сфере осуществления государственного технического учета и технической инвентаризации объектов капитального строительства с указанной даты не применяются (часть 8 статьи 47</w:t>
      </w:r>
      <w:r w:rsidRPr="007713DB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</w:t>
      </w:r>
      <w:hyperlink r:id="rId4" w:history="1">
        <w:r w:rsidRPr="007713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Федерального закона от 24 июля 2007 г</w:t>
        </w:r>
        <w:r w:rsidRPr="007713D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.</w:t>
        </w:r>
        <w:r w:rsidRPr="007713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№221-Ф3</w:t>
        </w:r>
      </w:hyperlink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«О государственном кадастре недвижимости», далее - Закон о кадастре)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Таким образом, с 1 января 2013 г. положения постановлений Правительства Российской Федерации от 4 декабря 2000 г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№921 «О государственном техническом учете и технической инвентаризации в Российской Федерации объектов капитального строительства» (далее -</w:t>
      </w:r>
      <w:r w:rsidRPr="007713DB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</w:t>
      </w:r>
      <w:hyperlink r:id="rId5" w:history="1">
        <w:r w:rsidRPr="007713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№921</w:t>
        </w:r>
      </w:hyperlink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), от 10 сентября 2004 г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7713DB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№ 477 «О внесении изменений в некоторые акты Правительства Российской Федерации по вопросам осуществления государственного технического учета и технической инвентаризации объектов капитального строительства» (далее - Постановление №477), "</w:t>
      </w:r>
      <w:hyperlink r:id="rId6" w:history="1">
        <w:r w:rsidRPr="007713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приказа Минэкономразвития России от 5 апреля 2005 г</w:t>
        </w:r>
        <w:r w:rsidRPr="007713D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.</w:t>
        </w:r>
        <w:r w:rsidRPr="007713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№70</w:t>
        </w:r>
      </w:hyperlink>
      <w:r w:rsidRPr="007713DB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«Об утверждении Положения об аккредитации Росреестром организаций технического учета и технической инвентаризации объектов капитального строительства», далее - Приказ) не применяются, аккредитация организаций технической инвентаризации объектов капитального строительства не осуществляется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Также сообщаем, в настоящее время в Департаменте недвижимости проводится работа по подготовке проекта постановления Правительства Российской Федерации, предусматривающего отмену Постановлений №921 и №477, а также проекта приказа Минэкономразвития России, предусматривающего отмену Приказа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В ближайшее время указанные проекты будут направлены на согласование в Росреестр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lastRenderedPageBreak/>
        <w:t>В соответствии с положениями части 3 статьи 44 Закона о кадастре кадастровые инженеры осуществляют в установленном Законом о кадастре порядке кадастровую деятельность в отношении зданий, сооружений, помещений, объектов незавершенного строительства с 1 января 2013 года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При этом с 1 января 2013 года и до 1 января 2014 года эту кадастровую деятельность наряду с кадастровыми инженерами вправе осуществлять организации по государственному техническому учету и (или) технической инвентаризации, которые 31 декабря 2012 года имели право осуществлять государственный технический учет и (или) техническую инвентаризацию данных объектов недвижимости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lang w:eastAsia="ru-RU"/>
        </w:rPr>
        <w:t>2. Об осуществлении государственного учета жилищного фонда и порядке выдачи технических паспортов на объекты жилищного фонда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Как указывалось ранее, положения нормативных правовых актов в сфере осуществления государственного технического учета и технической инвентаризации с 1 января 2013 г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не применяются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Вместе с тем, статьей 19 Жилищного кодекса Российской Федерации предусмотрено проведение государственного учета жилищного фонда в Российской Федерации, осуществляемого в порядке, установленном уполномоченным Правительством Российской Федерации федеральным органом исполнительной власти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В настоящее время уполномоченным на утверждение порядка осуществления государственного учета жилищного фонда федеральным органом исполнительной власти является Госстрой (пункт 52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15 Положения о Федеральном агентстве по строительству и жилищно-коммунальному хозяйству, утвержденного постановлением Правительства Российской Федерации от 30 июня 2012 г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№ 670)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Госстроем порядок осуществления государственного учета жилищного фонда не установлен и в настоящее время продолжает действовать Порядок осуществления государственного учета жилищного фонда, установленный постановлением</w:t>
      </w:r>
      <w:r w:rsidRPr="007713DB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</w:t>
      </w:r>
      <w:hyperlink r:id="rId7" w:history="1">
        <w:r w:rsidRPr="007713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Правительства Российской Федерации от 13 октября 1997 г</w:t>
        </w:r>
        <w:r w:rsidRPr="007713D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.</w:t>
        </w:r>
        <w:r w:rsidRPr="007713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№1301</w:t>
        </w:r>
      </w:hyperlink>
      <w:r w:rsidRPr="007713DB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«О государственном учете жилищного фонда в Российской Федерации» (далее - Порядок учета, Постановление №1301)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Пунктом 3 Порядка учета установлено, что технический учет жилищного фонда возлагается на специализированные государственные и муниципальные организации технической инвентаризации - унитарные предприятия, службы, управления, Центры, бюро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Таким образом, до установления порядка осуществления государственного учета жилищного фонда в порядке, предусмотренном действующим законодательством, и признания утратившим силу Постановления №1301, по мнению Департамента недвижимости, специализированные государственные и муниципальные организации технической инвентаризации для целей учета жилищного фонда вправе осуществлять техническую инвентаризацию объектов, относящихся к жилищному фонду, и выдачу технических паспортов на объекты жилищного фонда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При этом, процедура проведения технической инвентаризации объектов жилищного фонда установлена Инструкцией о проведении учета жилищного фонда в Российской Федерации, утвержденной приказом Минземстроя Российской Федерации от 4 августа 1998 г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№37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lang w:eastAsia="ru-RU"/>
        </w:rPr>
        <w:t>З. Об осуществлении государственного технического учета и технической инвентаризации и подготовке технического паспортов объектов капитального строительства, не относящихся к жилищному фонду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lastRenderedPageBreak/>
        <w:t>В настоящее время действующим законодательством порядок осуществления государственного технического учета и технической инвентаризации объектов капитального строительства, не относящихся к жилищному фонду, не установлен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Таким образом, подготовка технических паспортов на объекты капитального строительства, не относящиеся к объектам жилищного фонда, не предусмотрена действующим законодательством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В соответствии с частями 1, 8 статьи 41 Закона о кадастре технический план представляет собой документ, в котором воспроизведены определенные сведения, внесенные в государственный кадастр недвижимости, и указаны сведения о здании, сооружении, помещении или об объекте незавершенного строительства, необходимые для постановки на учет такого объекта недвижимости, либо сведения о части или частях такого объекта недвижимости, либо новые необходимые для внесения в государственный кадастр недвижимости сведения о таком объекте недвижимости, которому присвоен кадастровый номер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Сведения об объекте недвижимости указываются в техническом плане на основании представленных заказчиком кадастровых работ разрешения на ввод такого объекта недвижимости в эксплуатацию, проектной документации такого объекта недвижимости или технического паспорта на такой объект недвижимости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Учитывая изложенное в настоящем письме, технический план может быть оформлен на основании технического паспорта объекта капитального строительства, относящегося к жилищному фонду, выданного после 1 января 2013 г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Осуществление подготовки технического плана на основании сведений технического паспорта на объект капитального строительства, не относящейся к жилищному фонду, изготовленного после 1 января 2013 г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‚ не предусмотрено действующим законодательством.</w:t>
      </w:r>
    </w:p>
    <w:p w:rsidR="005403F0" w:rsidRPr="005403F0" w:rsidRDefault="005403F0" w:rsidP="007713DB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Департамент недвижимости просит довести настоящее письмо до сведения территориальных органов и подведомственных организаций Федеральной службы государственной регистрации, кадастра и картографии в целях соблюдения норм действующего законодательства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</w:p>
    <w:p w:rsidR="005403F0" w:rsidRPr="005403F0" w:rsidRDefault="005403F0" w:rsidP="007713DB">
      <w:pPr>
        <w:spacing w:after="0" w:line="326" w:lineRule="atLeast"/>
        <w:jc w:val="right"/>
        <w:textAlignment w:val="baseline"/>
        <w:rPr>
          <w:rFonts w:ascii="Times New Roman" w:eastAsia="Times New Roman" w:hAnsi="Times New Roman" w:cs="Times New Roman"/>
          <w:color w:val="1A0000"/>
          <w:sz w:val="24"/>
          <w:szCs w:val="24"/>
          <w:lang w:eastAsia="ru-RU"/>
        </w:rPr>
      </w:pPr>
      <w:r w:rsidRPr="005403F0">
        <w:rPr>
          <w:rFonts w:ascii="Arial" w:eastAsia="Times New Roman" w:hAnsi="Arial" w:cs="Arial"/>
          <w:color w:val="1F0909"/>
          <w:sz w:val="20"/>
          <w:szCs w:val="20"/>
          <w:lang w:eastAsia="ru-RU"/>
        </w:rPr>
        <w:br/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Директор Департамента недвижимости А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И</w:t>
      </w:r>
      <w:r w:rsidRPr="005403F0">
        <w:rPr>
          <w:rFonts w:ascii="Times New Roman" w:eastAsia="Times New Roman" w:hAnsi="Times New Roman" w:cs="Times New Roman"/>
          <w:b/>
          <w:bCs/>
          <w:color w:val="1F0909"/>
          <w:sz w:val="24"/>
          <w:szCs w:val="24"/>
          <w:bdr w:val="none" w:sz="0" w:space="0" w:color="auto" w:frame="1"/>
          <w:lang w:eastAsia="ru-RU"/>
        </w:rPr>
        <w:t>.</w:t>
      </w:r>
      <w:r w:rsidRPr="005403F0">
        <w:rPr>
          <w:rFonts w:ascii="Times New Roman" w:eastAsia="Times New Roman" w:hAnsi="Times New Roman" w:cs="Times New Roman"/>
          <w:color w:val="1F0909"/>
          <w:sz w:val="24"/>
          <w:szCs w:val="24"/>
          <w:lang w:eastAsia="ru-RU"/>
        </w:rPr>
        <w:t> Ивакин</w:t>
      </w:r>
    </w:p>
    <w:p w:rsidR="005403F0" w:rsidRPr="005403F0" w:rsidRDefault="005403F0" w:rsidP="005403F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0000"/>
          <w:sz w:val="27"/>
          <w:szCs w:val="27"/>
          <w:lang w:eastAsia="ru-RU"/>
        </w:rPr>
      </w:pPr>
      <w:r w:rsidRPr="005403F0">
        <w:rPr>
          <w:rFonts w:ascii="Arial" w:eastAsia="Times New Roman" w:hAnsi="Arial" w:cs="Arial"/>
          <w:color w:val="1A0000"/>
          <w:sz w:val="27"/>
          <w:szCs w:val="27"/>
          <w:lang w:eastAsia="ru-RU"/>
        </w:rPr>
        <w:t> </w:t>
      </w:r>
    </w:p>
    <w:p w:rsidR="005403F0" w:rsidRDefault="005403F0" w:rsidP="005403F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</w:p>
    <w:p w:rsidR="00427048" w:rsidRDefault="00427048"/>
    <w:sectPr w:rsidR="00427048" w:rsidSect="00427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403F0"/>
    <w:rsid w:val="00120085"/>
    <w:rsid w:val="00427048"/>
    <w:rsid w:val="00447E97"/>
    <w:rsid w:val="005403F0"/>
    <w:rsid w:val="007713DB"/>
    <w:rsid w:val="007B248D"/>
    <w:rsid w:val="00D35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048"/>
  </w:style>
  <w:style w:type="paragraph" w:styleId="2">
    <w:name w:val="heading 2"/>
    <w:basedOn w:val="a"/>
    <w:link w:val="20"/>
    <w:uiPriority w:val="9"/>
    <w:qFormat/>
    <w:rsid w:val="005403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403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40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403F0"/>
  </w:style>
  <w:style w:type="character" w:styleId="a3">
    <w:name w:val="Hyperlink"/>
    <w:basedOn w:val="a0"/>
    <w:uiPriority w:val="99"/>
    <w:semiHidden/>
    <w:unhideWhenUsed/>
    <w:rsid w:val="005403F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403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403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540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3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av-ue.ru/k-kad_uth.php?d=1301_97_prav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v-ue.ru/k-kad_uth.php?d=70_mert.htm" TargetMode="External"/><Relationship Id="rId5" Type="http://schemas.openxmlformats.org/officeDocument/2006/relationships/hyperlink" Target="http://av-ue.ru/k-kad_uth.php?d=921.htm" TargetMode="External"/><Relationship Id="rId4" Type="http://schemas.openxmlformats.org/officeDocument/2006/relationships/hyperlink" Target="http://av-ue.ru/k-kad_uth.php?d=221_09_fz.ht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RKC</dc:creator>
  <cp:keywords/>
  <dc:description/>
  <cp:lastModifiedBy>RKC</cp:lastModifiedBy>
  <cp:revision>2</cp:revision>
  <dcterms:created xsi:type="dcterms:W3CDTF">2016-05-23T10:53:00Z</dcterms:created>
  <dcterms:modified xsi:type="dcterms:W3CDTF">2016-05-23T11:06:00Z</dcterms:modified>
</cp:coreProperties>
</file>