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5397AD" w14:textId="01F8CDE5" w:rsidR="00841F20" w:rsidRPr="009C3B57" w:rsidRDefault="008C4D36" w:rsidP="00B05258">
      <w:pPr>
        <w:pStyle w:val="a5"/>
        <w:jc w:val="center"/>
        <w:rPr>
          <w:b/>
          <w:sz w:val="28"/>
          <w:szCs w:val="28"/>
        </w:rPr>
      </w:pPr>
      <w:r w:rsidRPr="009C3B57">
        <w:rPr>
          <w:rFonts w:cs="Tahoma"/>
          <w:b/>
          <w:noProof/>
          <w:color w:val="000000" w:themeColor="text1"/>
          <w:lang w:eastAsia="ru-RU"/>
        </w:rPr>
        <w:drawing>
          <wp:anchor distT="0" distB="0" distL="114300" distR="114300" simplePos="0" relativeHeight="251659264" behindDoc="0" locked="0" layoutInCell="1" allowOverlap="1" wp14:anchorId="39516E40" wp14:editId="6E98FB01">
            <wp:simplePos x="0" y="0"/>
            <wp:positionH relativeFrom="margin">
              <wp:posOffset>1893570</wp:posOffset>
            </wp:positionH>
            <wp:positionV relativeFrom="paragraph">
              <wp:posOffset>58369</wp:posOffset>
            </wp:positionV>
            <wp:extent cx="2400300" cy="1143000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F70312" w14:textId="77777777" w:rsidR="00574172" w:rsidRPr="009C3B57" w:rsidRDefault="00574172" w:rsidP="00574172">
      <w:pPr>
        <w:pStyle w:val="a5"/>
        <w:jc w:val="center"/>
        <w:rPr>
          <w:b/>
          <w:sz w:val="28"/>
          <w:szCs w:val="28"/>
        </w:rPr>
      </w:pPr>
      <w:r w:rsidRPr="009C3B57">
        <w:rPr>
          <w:b/>
          <w:sz w:val="28"/>
          <w:szCs w:val="28"/>
        </w:rPr>
        <w:t>Правовой режим территории:</w:t>
      </w:r>
    </w:p>
    <w:p w14:paraId="713DC28C" w14:textId="77777777" w:rsidR="00574172" w:rsidRPr="009C3B57" w:rsidRDefault="00574172" w:rsidP="00574172">
      <w:pPr>
        <w:pStyle w:val="a5"/>
        <w:jc w:val="center"/>
        <w:rPr>
          <w:b/>
          <w:sz w:val="28"/>
          <w:szCs w:val="28"/>
        </w:rPr>
      </w:pPr>
      <w:r w:rsidRPr="009C3B57">
        <w:rPr>
          <w:b/>
          <w:sz w:val="28"/>
          <w:szCs w:val="28"/>
        </w:rPr>
        <w:t>что нужно проверить до покупки земельного участка</w:t>
      </w:r>
    </w:p>
    <w:p w14:paraId="695D5C2F" w14:textId="77777777" w:rsidR="00574172" w:rsidRPr="009C3B57" w:rsidRDefault="00574172" w:rsidP="00574172">
      <w:pPr>
        <w:pStyle w:val="a5"/>
      </w:pPr>
    </w:p>
    <w:p w14:paraId="3DA6637F" w14:textId="77777777" w:rsidR="00574172" w:rsidRPr="009C3B57" w:rsidRDefault="00574172" w:rsidP="00574172">
      <w:pPr>
        <w:pStyle w:val="a5"/>
        <w:jc w:val="both"/>
      </w:pPr>
      <w:r w:rsidRPr="009C3B57">
        <w:t>Перед покупкой недвижимости или земельного участка важно заранее собрать максимально полную и актуальную информацию об объекте, поскольку именно на этапе подготовки сделки можно выявить правовые и фактические ограничения, способные повлиять на возможность использования имущества в будущем. Речь может идти о запретах и ограничениях на строительство, реконструкцию, размещение отдельных объектов, о дополнительных требованиях к использованию территории, а также о рисках, связанных со снижением инвестиционной привлекательности объекта и с дополнительными расходами на согласования и оформление документов. Особенно важно проверить, не находится ли объект в границах зон с особыми условиями использования территории, поскольку законодательное регулирование в этой сфере меняется, а границы зон могут уточняться, в том числе в связи с установлением и изменением зон затопления и подтопления, сведения о которых подлежат внесению в ЕГРН.</w:t>
      </w:r>
    </w:p>
    <w:p w14:paraId="3343D29C" w14:textId="77777777" w:rsidR="00574172" w:rsidRPr="009C3B57" w:rsidRDefault="00574172" w:rsidP="00574172">
      <w:pPr>
        <w:pStyle w:val="a5"/>
        <w:jc w:val="both"/>
      </w:pPr>
    </w:p>
    <w:p w14:paraId="4BF36B7C" w14:textId="1E0F9C03" w:rsidR="00574172" w:rsidRPr="009C3B57" w:rsidRDefault="00CD3894" w:rsidP="00574172">
      <w:pPr>
        <w:pStyle w:val="a5"/>
        <w:jc w:val="both"/>
      </w:pPr>
      <w:r>
        <w:t>Зоны с особыми условиями использования территории (</w:t>
      </w:r>
      <w:r w:rsidR="00574172" w:rsidRPr="009C3B57">
        <w:t>ЗОУИТ</w:t>
      </w:r>
      <w:r>
        <w:t>)</w:t>
      </w:r>
      <w:r w:rsidR="00574172" w:rsidRPr="009C3B57">
        <w:t xml:space="preserve"> представляют собой территории, в пределах которых установлен специальный правовой режим использования земельных участков и иных объектов недвижимости. Такие зоны вводятся для обеспечения безопасности граждан, защиты окружающей среды, сохранности инженерной и транспортной инфраструктуры, а также для соблюдения санитарных, природоохранных и иных обязательных требований.</w:t>
      </w:r>
    </w:p>
    <w:p w14:paraId="546F5275" w14:textId="77777777" w:rsidR="00574172" w:rsidRPr="009C3B57" w:rsidRDefault="00574172" w:rsidP="00574172">
      <w:pPr>
        <w:pStyle w:val="a5"/>
        <w:jc w:val="both"/>
      </w:pPr>
    </w:p>
    <w:p w14:paraId="4DBB273F" w14:textId="58B8A340" w:rsidR="00574172" w:rsidRPr="009C3B57" w:rsidRDefault="00574172" w:rsidP="00574172">
      <w:pPr>
        <w:pStyle w:val="a5"/>
        <w:jc w:val="both"/>
      </w:pPr>
      <w:r w:rsidRPr="00CD3894">
        <w:t>Земельным кодексом РФ</w:t>
      </w:r>
      <w:r w:rsidRPr="009C3B57">
        <w:t xml:space="preserve"> предусмотрено 28 видов зон с особыми условиями использования территорий. К ним, в частности, относятся охранные зоны трубопроводов, объектов электросетевого хозяйства, линий связи, придорожные полосы, водоохранные зоны, санитарно-защитные зоны и иные территории, на которых действуют специальные ограничения.</w:t>
      </w:r>
    </w:p>
    <w:p w14:paraId="1FDD8670" w14:textId="77777777" w:rsidR="00574172" w:rsidRPr="009C3B57" w:rsidRDefault="00574172" w:rsidP="00574172">
      <w:pPr>
        <w:pStyle w:val="a5"/>
        <w:jc w:val="both"/>
      </w:pPr>
    </w:p>
    <w:p w14:paraId="107B3568" w14:textId="77777777" w:rsidR="00574172" w:rsidRPr="009C3B57" w:rsidRDefault="00574172" w:rsidP="00574172">
      <w:pPr>
        <w:pStyle w:val="a5"/>
        <w:jc w:val="both"/>
      </w:pPr>
      <w:r w:rsidRPr="009C3B57">
        <w:t>Нахождение объекта недвижимости в пределах ЗОУИТ не всегда означает полный запрет на его использование, однако влечет определенные правовые последствия. В зависимости от вида зоны на земельном участке могут быть запрещены строительство, реконструкция, размещение отдельных объектов, изменение вида разрешенного использования или проведение определенных работ; в ряде случаев использование допускается, но только при соблюдении специальных условий и согласований.</w:t>
      </w:r>
    </w:p>
    <w:p w14:paraId="61BC8B87" w14:textId="77777777" w:rsidR="00574172" w:rsidRPr="009C3B57" w:rsidRDefault="00574172" w:rsidP="00574172">
      <w:pPr>
        <w:pStyle w:val="a5"/>
        <w:jc w:val="both"/>
      </w:pPr>
    </w:p>
    <w:p w14:paraId="1941B574" w14:textId="1CC3DE38" w:rsidR="00574172" w:rsidRPr="009C3B57" w:rsidRDefault="00574172" w:rsidP="00574172">
      <w:pPr>
        <w:pStyle w:val="a5"/>
        <w:jc w:val="both"/>
      </w:pPr>
      <w:r w:rsidRPr="009C3B57">
        <w:t>Получить официальные сведения о наличии или отсутствии ограничений можно, заказав выписку из Единого государственного реестра недвижимост</w:t>
      </w:r>
      <w:bookmarkStart w:id="0" w:name="_GoBack"/>
      <w:bookmarkEnd w:id="0"/>
      <w:r w:rsidRPr="009C3B57">
        <w:t>и</w:t>
      </w:r>
      <w:r w:rsidR="00CD3894">
        <w:t xml:space="preserve"> (ЕГРН)</w:t>
      </w:r>
      <w:r w:rsidRPr="009C3B57">
        <w:t xml:space="preserve"> об объекте недвижимости. Запрос на предоставление выписки можно подать лично через офис МФЦ, а также дистанционно — с использованием электронных сервисов Росреестра или портала Госуслуг.</w:t>
      </w:r>
    </w:p>
    <w:p w14:paraId="08DADCD7" w14:textId="77777777" w:rsidR="00574172" w:rsidRPr="009C3B57" w:rsidRDefault="00574172" w:rsidP="00574172">
      <w:pPr>
        <w:pStyle w:val="a5"/>
        <w:jc w:val="both"/>
      </w:pPr>
    </w:p>
    <w:p w14:paraId="4F56D256" w14:textId="77777777" w:rsidR="00574172" w:rsidRPr="009C3B57" w:rsidRDefault="00574172" w:rsidP="00574172">
      <w:pPr>
        <w:pStyle w:val="a5"/>
        <w:jc w:val="both"/>
      </w:pPr>
      <w:r w:rsidRPr="009C3B57">
        <w:t xml:space="preserve">Самым быстрым и бесплатным способом предварительной проверки информации о ЗОУИТ является сервис «Публичная кадастровая карта», размещенный на портале «Национальная система пространственных данных». Сервис доступен без авторизации и позволяет в удобной форме определить, попадает ли земельный участок в границы зоны с особыми </w:t>
      </w:r>
      <w:r w:rsidRPr="009C3B57">
        <w:lastRenderedPageBreak/>
        <w:t>условиями использования территории, если соответствующие сведения уже внесены в ЕГРН.</w:t>
      </w:r>
    </w:p>
    <w:p w14:paraId="50D009DA" w14:textId="77777777" w:rsidR="00574172" w:rsidRPr="009C3B57" w:rsidRDefault="00574172" w:rsidP="00574172">
      <w:pPr>
        <w:pStyle w:val="a5"/>
        <w:jc w:val="both"/>
      </w:pPr>
    </w:p>
    <w:p w14:paraId="5816DD84" w14:textId="77777777" w:rsidR="00574172" w:rsidRPr="009C3B57" w:rsidRDefault="00574172" w:rsidP="00574172">
      <w:pPr>
        <w:pStyle w:val="a5"/>
        <w:jc w:val="both"/>
      </w:pPr>
      <w:r w:rsidRPr="009C3B57">
        <w:t>При этом важно учитывать, что на Публичной кадастровой карте отображаются только те ЗОУИТ, сведения о которых внесены в Единый государственный реестр недвижимости. Поэтому для принятия окончательного решения о сделке рекомендуется использовать комплексный подход: предварительно проверить объект с помощью Публичной кадастровой карты, а затем запросить официальную выписку из ЕГРН.</w:t>
      </w:r>
    </w:p>
    <w:p w14:paraId="003CEB52" w14:textId="77777777" w:rsidR="00574172" w:rsidRPr="009C3B57" w:rsidRDefault="00574172" w:rsidP="00574172">
      <w:pPr>
        <w:pStyle w:val="a5"/>
        <w:jc w:val="both"/>
      </w:pPr>
    </w:p>
    <w:p w14:paraId="3C1C5E83" w14:textId="77777777" w:rsidR="00574172" w:rsidRPr="009C3B57" w:rsidRDefault="00574172" w:rsidP="00574172">
      <w:pPr>
        <w:pStyle w:val="a5"/>
        <w:jc w:val="both"/>
      </w:pPr>
      <w:r w:rsidRPr="009C3B57">
        <w:t>Проверка правового режима земельного участка или иного объекта недвижимости до покупки — это разумная мера предосторожности, которая помогает защитить интересы правообладателя и избежать серьезных правовых и финансовых последствий в будущем. Чем полнее информация об объекте на этапе подготовки сделки, тем надежнее и безопаснее сама сделка.</w:t>
      </w:r>
    </w:p>
    <w:p w14:paraId="5B6A0287" w14:textId="77777777" w:rsidR="008A45CB" w:rsidRPr="009C3B57" w:rsidRDefault="008A45CB" w:rsidP="00B05258">
      <w:pPr>
        <w:pStyle w:val="docdata"/>
        <w:spacing w:before="0" w:beforeAutospacing="0" w:after="0" w:afterAutospacing="0"/>
        <w:jc w:val="right"/>
        <w:rPr>
          <w:rFonts w:ascii="Tahoma" w:hAnsi="Tahoma" w:cs="Tahoma"/>
          <w:i/>
          <w:color w:val="000000" w:themeColor="text1"/>
          <w:sz w:val="18"/>
          <w:szCs w:val="18"/>
        </w:rPr>
      </w:pPr>
    </w:p>
    <w:p w14:paraId="68FA190D" w14:textId="77777777" w:rsidR="008A45CB" w:rsidRPr="009C3B57" w:rsidRDefault="008A45CB" w:rsidP="00B05258">
      <w:pPr>
        <w:pStyle w:val="docdata"/>
        <w:spacing w:before="0" w:beforeAutospacing="0" w:after="0" w:afterAutospacing="0"/>
        <w:jc w:val="right"/>
        <w:rPr>
          <w:rFonts w:ascii="Tahoma" w:hAnsi="Tahoma" w:cs="Tahoma"/>
          <w:i/>
          <w:color w:val="000000" w:themeColor="text1"/>
          <w:sz w:val="18"/>
          <w:szCs w:val="18"/>
        </w:rPr>
      </w:pPr>
    </w:p>
    <w:p w14:paraId="3B2F85BA" w14:textId="77777777" w:rsidR="00521E75" w:rsidRPr="009C3B57" w:rsidRDefault="00521E75" w:rsidP="00B05258">
      <w:pPr>
        <w:pStyle w:val="docdata"/>
        <w:spacing w:before="0" w:beforeAutospacing="0" w:after="0" w:afterAutospacing="0"/>
        <w:jc w:val="right"/>
        <w:rPr>
          <w:rFonts w:ascii="Tahoma" w:hAnsi="Tahoma" w:cs="Tahoma"/>
          <w:i/>
          <w:color w:val="000000" w:themeColor="text1"/>
          <w:sz w:val="18"/>
          <w:szCs w:val="18"/>
        </w:rPr>
      </w:pPr>
    </w:p>
    <w:p w14:paraId="4A6E6BE1" w14:textId="77777777" w:rsidR="00521E75" w:rsidRPr="009C3B57" w:rsidRDefault="00521E75" w:rsidP="00B05258">
      <w:pPr>
        <w:pStyle w:val="docdata"/>
        <w:spacing w:before="0" w:beforeAutospacing="0" w:after="0" w:afterAutospacing="0"/>
        <w:jc w:val="right"/>
        <w:rPr>
          <w:rFonts w:ascii="Tahoma" w:hAnsi="Tahoma" w:cs="Tahoma"/>
          <w:i/>
          <w:color w:val="000000" w:themeColor="text1"/>
          <w:sz w:val="18"/>
          <w:szCs w:val="18"/>
        </w:rPr>
      </w:pPr>
    </w:p>
    <w:p w14:paraId="77412E62" w14:textId="2929FA27" w:rsidR="00B05258" w:rsidRPr="009C3B57" w:rsidRDefault="00B05258" w:rsidP="00B05258">
      <w:pPr>
        <w:pStyle w:val="docdata"/>
        <w:spacing w:before="0" w:beforeAutospacing="0" w:after="0" w:afterAutospacing="0"/>
        <w:jc w:val="right"/>
        <w:rPr>
          <w:rFonts w:ascii="Tahoma" w:hAnsi="Tahoma" w:cs="Tahoma"/>
          <w:i/>
          <w:color w:val="000000" w:themeColor="text1"/>
          <w:sz w:val="18"/>
          <w:szCs w:val="18"/>
        </w:rPr>
      </w:pPr>
      <w:r w:rsidRPr="009C3B57">
        <w:rPr>
          <w:rFonts w:ascii="Tahoma" w:hAnsi="Tahoma" w:cs="Tahoma"/>
          <w:i/>
          <w:color w:val="000000" w:themeColor="text1"/>
          <w:sz w:val="18"/>
          <w:szCs w:val="18"/>
        </w:rPr>
        <w:t>Мельникова Н.А.</w:t>
      </w:r>
    </w:p>
    <w:p w14:paraId="1A9D6369" w14:textId="77777777" w:rsidR="00B05258" w:rsidRPr="009C3B57" w:rsidRDefault="00B05258" w:rsidP="00B05258">
      <w:pPr>
        <w:pStyle w:val="a3"/>
        <w:spacing w:before="0" w:beforeAutospacing="0" w:after="0" w:afterAutospacing="0"/>
        <w:jc w:val="right"/>
        <w:rPr>
          <w:color w:val="000000" w:themeColor="text1"/>
        </w:rPr>
      </w:pPr>
      <w:r w:rsidRPr="009C3B57">
        <w:rPr>
          <w:rFonts w:ascii="Tahoma" w:hAnsi="Tahoma" w:cs="Tahoma"/>
          <w:i/>
          <w:iCs/>
          <w:color w:val="000000" w:themeColor="text1"/>
          <w:sz w:val="18"/>
          <w:szCs w:val="18"/>
        </w:rPr>
        <w:t>Компания "Региональный кадастровый центр"</w:t>
      </w:r>
    </w:p>
    <w:p w14:paraId="217A34FD" w14:textId="6CD1DF47" w:rsidR="00E2497C" w:rsidRPr="00302AC7" w:rsidRDefault="00B05258" w:rsidP="00302AC7">
      <w:pPr>
        <w:pStyle w:val="a3"/>
        <w:spacing w:before="0" w:beforeAutospacing="0" w:after="0" w:afterAutospacing="0"/>
        <w:jc w:val="right"/>
        <w:rPr>
          <w:color w:val="000000" w:themeColor="text1"/>
        </w:rPr>
      </w:pPr>
      <w:r w:rsidRPr="009C3B57">
        <w:rPr>
          <w:rFonts w:ascii="Tahoma" w:hAnsi="Tahoma" w:cs="Tahoma"/>
          <w:i/>
          <w:iCs/>
          <w:color w:val="000000" w:themeColor="text1"/>
          <w:sz w:val="18"/>
          <w:szCs w:val="18"/>
        </w:rPr>
        <w:t>г. Оренбург</w:t>
      </w:r>
    </w:p>
    <w:sectPr w:rsidR="00E2497C" w:rsidRPr="00302AC7" w:rsidSect="009F48D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3210D31" w16cid:durableId="2DC191B6"/>
  <w16cid:commentId w16cid:paraId="4BB2DA7C" w16cid:durableId="2DC19330"/>
  <w16cid:commentId w16cid:paraId="30117A77" w16cid:durableId="2DC193D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413"/>
    <w:multiLevelType w:val="hybridMultilevel"/>
    <w:tmpl w:val="9E3AA75A"/>
    <w:lvl w:ilvl="0" w:tplc="81DC6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F4529"/>
    <w:multiLevelType w:val="hybridMultilevel"/>
    <w:tmpl w:val="B1FE0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0631A"/>
    <w:multiLevelType w:val="hybridMultilevel"/>
    <w:tmpl w:val="F488B8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6A5F50"/>
    <w:multiLevelType w:val="multilevel"/>
    <w:tmpl w:val="73944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717F4F"/>
    <w:multiLevelType w:val="hybridMultilevel"/>
    <w:tmpl w:val="1D1067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C55E53"/>
    <w:multiLevelType w:val="hybridMultilevel"/>
    <w:tmpl w:val="D24A04A4"/>
    <w:lvl w:ilvl="0" w:tplc="81DC6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ED62B8"/>
    <w:multiLevelType w:val="hybridMultilevel"/>
    <w:tmpl w:val="D4D0DCF0"/>
    <w:lvl w:ilvl="0" w:tplc="81DC6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161334"/>
    <w:multiLevelType w:val="multilevel"/>
    <w:tmpl w:val="C1E4C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414A14"/>
    <w:multiLevelType w:val="multilevel"/>
    <w:tmpl w:val="340E4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2A2052"/>
    <w:multiLevelType w:val="multilevel"/>
    <w:tmpl w:val="5032E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9F2EC9"/>
    <w:multiLevelType w:val="hybridMultilevel"/>
    <w:tmpl w:val="EFC4CF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680DC0"/>
    <w:multiLevelType w:val="hybridMultilevel"/>
    <w:tmpl w:val="75E075D4"/>
    <w:lvl w:ilvl="0" w:tplc="81DC657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54205B7"/>
    <w:multiLevelType w:val="hybridMultilevel"/>
    <w:tmpl w:val="FE06CA20"/>
    <w:lvl w:ilvl="0" w:tplc="81DC6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BD4FA8"/>
    <w:multiLevelType w:val="multilevel"/>
    <w:tmpl w:val="3A706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E60E7A"/>
    <w:multiLevelType w:val="hybridMultilevel"/>
    <w:tmpl w:val="8F32DC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F14EC6"/>
    <w:multiLevelType w:val="hybridMultilevel"/>
    <w:tmpl w:val="5CF0E5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3212DC"/>
    <w:multiLevelType w:val="hybridMultilevel"/>
    <w:tmpl w:val="6AF22A92"/>
    <w:lvl w:ilvl="0" w:tplc="81DC6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28666C"/>
    <w:multiLevelType w:val="hybridMultilevel"/>
    <w:tmpl w:val="78DAD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13"/>
  </w:num>
  <w:num w:numId="5">
    <w:abstractNumId w:val="14"/>
  </w:num>
  <w:num w:numId="6">
    <w:abstractNumId w:val="10"/>
  </w:num>
  <w:num w:numId="7">
    <w:abstractNumId w:val="0"/>
  </w:num>
  <w:num w:numId="8">
    <w:abstractNumId w:val="5"/>
  </w:num>
  <w:num w:numId="9">
    <w:abstractNumId w:val="8"/>
  </w:num>
  <w:num w:numId="10">
    <w:abstractNumId w:val="17"/>
  </w:num>
  <w:num w:numId="11">
    <w:abstractNumId w:val="2"/>
  </w:num>
  <w:num w:numId="12">
    <w:abstractNumId w:val="1"/>
  </w:num>
  <w:num w:numId="13">
    <w:abstractNumId w:val="15"/>
  </w:num>
  <w:num w:numId="14">
    <w:abstractNumId w:val="4"/>
  </w:num>
  <w:num w:numId="15">
    <w:abstractNumId w:val="12"/>
  </w:num>
  <w:num w:numId="16">
    <w:abstractNumId w:val="16"/>
  </w:num>
  <w:num w:numId="17">
    <w:abstractNumId w:val="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661"/>
    <w:rsid w:val="00035149"/>
    <w:rsid w:val="000E0489"/>
    <w:rsid w:val="00122BF5"/>
    <w:rsid w:val="00134CF4"/>
    <w:rsid w:val="00182843"/>
    <w:rsid w:val="001B2F00"/>
    <w:rsid w:val="001D3AD5"/>
    <w:rsid w:val="001F1E50"/>
    <w:rsid w:val="00302AC7"/>
    <w:rsid w:val="00302D72"/>
    <w:rsid w:val="003103EF"/>
    <w:rsid w:val="00392385"/>
    <w:rsid w:val="003A2F8F"/>
    <w:rsid w:val="004D0E53"/>
    <w:rsid w:val="004E7E04"/>
    <w:rsid w:val="00503185"/>
    <w:rsid w:val="00521E75"/>
    <w:rsid w:val="00562661"/>
    <w:rsid w:val="0056400C"/>
    <w:rsid w:val="00574172"/>
    <w:rsid w:val="005C1925"/>
    <w:rsid w:val="005F3AA5"/>
    <w:rsid w:val="006045B8"/>
    <w:rsid w:val="0062419F"/>
    <w:rsid w:val="00662CBA"/>
    <w:rsid w:val="0066356F"/>
    <w:rsid w:val="00677976"/>
    <w:rsid w:val="00680E8C"/>
    <w:rsid w:val="00754B76"/>
    <w:rsid w:val="00773FC9"/>
    <w:rsid w:val="00797078"/>
    <w:rsid w:val="007C319B"/>
    <w:rsid w:val="00811075"/>
    <w:rsid w:val="00841F20"/>
    <w:rsid w:val="00893D39"/>
    <w:rsid w:val="008A45CB"/>
    <w:rsid w:val="008C2F58"/>
    <w:rsid w:val="008C4D36"/>
    <w:rsid w:val="00942E09"/>
    <w:rsid w:val="0095002B"/>
    <w:rsid w:val="00975774"/>
    <w:rsid w:val="00992962"/>
    <w:rsid w:val="009A0D31"/>
    <w:rsid w:val="009A686C"/>
    <w:rsid w:val="009C3B57"/>
    <w:rsid w:val="009F48D2"/>
    <w:rsid w:val="00A81EC4"/>
    <w:rsid w:val="00A839AD"/>
    <w:rsid w:val="00B05258"/>
    <w:rsid w:val="00B128B7"/>
    <w:rsid w:val="00B22B9C"/>
    <w:rsid w:val="00B47D2D"/>
    <w:rsid w:val="00BB5005"/>
    <w:rsid w:val="00C9199A"/>
    <w:rsid w:val="00CA2ED1"/>
    <w:rsid w:val="00CD3894"/>
    <w:rsid w:val="00CE57F0"/>
    <w:rsid w:val="00CE6902"/>
    <w:rsid w:val="00D2331D"/>
    <w:rsid w:val="00D33B6E"/>
    <w:rsid w:val="00D723EB"/>
    <w:rsid w:val="00D85430"/>
    <w:rsid w:val="00DB684B"/>
    <w:rsid w:val="00E176DE"/>
    <w:rsid w:val="00E221C1"/>
    <w:rsid w:val="00E2497C"/>
    <w:rsid w:val="00E82E6C"/>
    <w:rsid w:val="00EE2C1C"/>
    <w:rsid w:val="00F422C3"/>
    <w:rsid w:val="00F66A32"/>
    <w:rsid w:val="00FA2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A920C"/>
  <w15:chartTrackingRefBased/>
  <w15:docId w15:val="{2B807F9E-8D12-45B4-A2E2-F35F6C8EA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925"/>
  </w:style>
  <w:style w:type="paragraph" w:styleId="3">
    <w:name w:val="heading 3"/>
    <w:basedOn w:val="a"/>
    <w:link w:val="30"/>
    <w:uiPriority w:val="9"/>
    <w:qFormat/>
    <w:rsid w:val="005626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6266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562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562661"/>
    <w:rPr>
      <w:b/>
      <w:bCs/>
    </w:rPr>
  </w:style>
  <w:style w:type="paragraph" w:styleId="a5">
    <w:name w:val="No Spacing"/>
    <w:uiPriority w:val="1"/>
    <w:qFormat/>
    <w:rsid w:val="00562661"/>
    <w:pPr>
      <w:spacing w:after="0" w:line="240" w:lineRule="auto"/>
    </w:pPr>
  </w:style>
  <w:style w:type="table" w:styleId="a6">
    <w:name w:val="Table Grid"/>
    <w:basedOn w:val="a1"/>
    <w:uiPriority w:val="39"/>
    <w:rsid w:val="00562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data">
    <w:name w:val="docdata"/>
    <w:aliases w:val="docy,v5,2041,bqiaagaaeyqcaaagiaiaaangbwaabw4haaaaaaaaaaaaaaaaaaaaaaaaaaaaaaaaaaaaaaaaaaaaaaaaaaaaaaaaaaaaaaaaaaaaaaaaaaaaaaaaaaaaaaaaaaaaaaaaaaaaaaaaaaaaaaaaaaaaaaaaaaaaaaaaaaaaaaaaaaaaaaaaaaaaaaaaaaaaaaaaaaaaaaaaaaaaaaaaaaaaaaaaaaaaaaaaaaaaaaaa"/>
    <w:basedOn w:val="a"/>
    <w:rsid w:val="00B05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character" w:styleId="a7">
    <w:name w:val="Hyperlink"/>
    <w:basedOn w:val="a0"/>
    <w:uiPriority w:val="99"/>
    <w:unhideWhenUsed/>
    <w:rsid w:val="00B05258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B05258"/>
    <w:rPr>
      <w:color w:val="954F72" w:themeColor="followedHyperlink"/>
      <w:u w:val="single"/>
    </w:rPr>
  </w:style>
  <w:style w:type="character" w:styleId="a9">
    <w:name w:val="annotation reference"/>
    <w:basedOn w:val="a0"/>
    <w:uiPriority w:val="99"/>
    <w:semiHidden/>
    <w:unhideWhenUsed/>
    <w:rsid w:val="00D85430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D85430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D85430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85430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D85430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D854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D85430"/>
    <w:rPr>
      <w:rFonts w:ascii="Segoe UI" w:hAnsi="Segoe UI" w:cs="Segoe UI"/>
      <w:sz w:val="18"/>
      <w:szCs w:val="18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85430"/>
    <w:rPr>
      <w:color w:val="605E5C"/>
      <w:shd w:val="clear" w:color="auto" w:fill="E1DFDD"/>
    </w:rPr>
  </w:style>
  <w:style w:type="character" w:customStyle="1" w:styleId="whitespace-normal">
    <w:name w:val="whitespace-normal"/>
    <w:basedOn w:val="a0"/>
    <w:rsid w:val="00677976"/>
  </w:style>
  <w:style w:type="character" w:customStyle="1" w:styleId="markdown-word">
    <w:name w:val="markdown-word"/>
    <w:basedOn w:val="a0"/>
    <w:rsid w:val="004D0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43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AFDC4-46D0-4173-9435-695D57A84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Александровна Мельникова</dc:creator>
  <cp:keywords/>
  <dc:description/>
  <cp:lastModifiedBy>Наталья Александровна Мельникова</cp:lastModifiedBy>
  <cp:revision>2</cp:revision>
  <dcterms:created xsi:type="dcterms:W3CDTF">2026-05-28T07:03:00Z</dcterms:created>
  <dcterms:modified xsi:type="dcterms:W3CDTF">2026-05-28T07:03:00Z</dcterms:modified>
</cp:coreProperties>
</file>