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F87AFD" w14:textId="543BD554" w:rsidR="00652A52" w:rsidRPr="00D41D08" w:rsidRDefault="007F777E" w:rsidP="00652A52">
      <w:pPr>
        <w:pStyle w:val="a3"/>
        <w:jc w:val="center"/>
        <w:rPr>
          <w:b/>
        </w:rPr>
      </w:pPr>
      <w:r w:rsidRPr="00D41D08">
        <w:rPr>
          <w:rFonts w:cs="Tahoma"/>
          <w:b/>
          <w:noProof/>
          <w:color w:val="000000" w:themeColor="text1"/>
          <w:lang w:eastAsia="ru-RU"/>
        </w:rPr>
        <w:drawing>
          <wp:anchor distT="0" distB="0" distL="114300" distR="114300" simplePos="0" relativeHeight="251659264" behindDoc="0" locked="0" layoutInCell="1" allowOverlap="1" wp14:anchorId="6FCE7838" wp14:editId="5EE6EF6F">
            <wp:simplePos x="0" y="0"/>
            <wp:positionH relativeFrom="margin">
              <wp:posOffset>2018995</wp:posOffset>
            </wp:positionH>
            <wp:positionV relativeFrom="paragraph">
              <wp:posOffset>248387</wp:posOffset>
            </wp:positionV>
            <wp:extent cx="2400300" cy="1143000"/>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92F169" w14:textId="3289445B" w:rsidR="00652A52" w:rsidRPr="00D41D08" w:rsidRDefault="00652A52" w:rsidP="00652A52">
      <w:pPr>
        <w:pStyle w:val="a3"/>
        <w:jc w:val="center"/>
        <w:rPr>
          <w:b/>
        </w:rPr>
      </w:pPr>
    </w:p>
    <w:p w14:paraId="05184A3F" w14:textId="77777777" w:rsidR="001415AA" w:rsidRPr="00D41D08" w:rsidRDefault="001415AA" w:rsidP="00652A52">
      <w:pPr>
        <w:pStyle w:val="a3"/>
        <w:jc w:val="center"/>
        <w:rPr>
          <w:b/>
          <w:sz w:val="28"/>
          <w:szCs w:val="28"/>
        </w:rPr>
      </w:pPr>
    </w:p>
    <w:p w14:paraId="6B129041" w14:textId="2430F449" w:rsidR="001415AA" w:rsidRPr="00D41D08" w:rsidRDefault="001415AA" w:rsidP="00652A52">
      <w:pPr>
        <w:pStyle w:val="a3"/>
        <w:jc w:val="center"/>
        <w:rPr>
          <w:b/>
          <w:sz w:val="28"/>
          <w:szCs w:val="28"/>
        </w:rPr>
      </w:pPr>
      <w:r w:rsidRPr="00D41D08">
        <w:rPr>
          <w:b/>
          <w:sz w:val="28"/>
          <w:szCs w:val="28"/>
        </w:rPr>
        <w:t xml:space="preserve">Новые правила застройки в зонах затопления и подтопления: </w:t>
      </w:r>
    </w:p>
    <w:p w14:paraId="57101A6B" w14:textId="57A18906" w:rsidR="00AA098A" w:rsidRPr="00D41D08" w:rsidRDefault="001415AA" w:rsidP="00652A52">
      <w:pPr>
        <w:pStyle w:val="a3"/>
        <w:jc w:val="center"/>
        <w:rPr>
          <w:b/>
          <w:sz w:val="28"/>
          <w:szCs w:val="28"/>
        </w:rPr>
      </w:pPr>
      <w:r w:rsidRPr="00D41D08">
        <w:rPr>
          <w:b/>
          <w:sz w:val="28"/>
          <w:szCs w:val="28"/>
        </w:rPr>
        <w:t>что меняет закон № 301</w:t>
      </w:r>
      <w:r w:rsidRPr="00D41D08">
        <w:rPr>
          <w:b/>
          <w:sz w:val="28"/>
          <w:szCs w:val="28"/>
        </w:rPr>
        <w:noBreakHyphen/>
        <w:t>ФЗ</w:t>
      </w:r>
    </w:p>
    <w:p w14:paraId="64BAA842" w14:textId="77777777" w:rsidR="00AA098A" w:rsidRPr="00D41D08" w:rsidRDefault="00AA098A" w:rsidP="00652A52">
      <w:pPr>
        <w:pStyle w:val="a3"/>
        <w:jc w:val="center"/>
        <w:rPr>
          <w:b/>
        </w:rPr>
      </w:pPr>
    </w:p>
    <w:p w14:paraId="1F31152E" w14:textId="02F4A2EA" w:rsidR="00AA098A" w:rsidRPr="00D41D08" w:rsidRDefault="00D556D4" w:rsidP="00AA098A">
      <w:pPr>
        <w:pStyle w:val="a3"/>
        <w:jc w:val="both"/>
        <w:rPr>
          <w:color w:val="000000" w:themeColor="text1"/>
        </w:rPr>
      </w:pPr>
      <w:hyperlink r:id="rId6" w:history="1">
        <w:r w:rsidR="00AA098A" w:rsidRPr="00D41D08">
          <w:rPr>
            <w:rStyle w:val="a4"/>
            <w:color w:val="000000" w:themeColor="text1"/>
            <w:u w:val="none"/>
          </w:rPr>
          <w:t>С 04.08.2026 года вступил в силу Федеральный закон № 301‑ФЗ</w:t>
        </w:r>
      </w:hyperlink>
      <w:r w:rsidR="00AA098A" w:rsidRPr="00D41D08">
        <w:rPr>
          <w:color w:val="000000" w:themeColor="text1"/>
        </w:rPr>
        <w:t xml:space="preserve">, который внёс важные изменения в </w:t>
      </w:r>
      <w:hyperlink r:id="rId7" w:history="1">
        <w:r w:rsidR="00AA098A" w:rsidRPr="00D41D08">
          <w:rPr>
            <w:rStyle w:val="a4"/>
            <w:color w:val="000000" w:themeColor="text1"/>
            <w:u w:val="none"/>
          </w:rPr>
          <w:t>Водный кодекс Российской Федерации</w:t>
        </w:r>
      </w:hyperlink>
      <w:r w:rsidR="00AA098A" w:rsidRPr="00D41D08">
        <w:rPr>
          <w:color w:val="000000" w:themeColor="text1"/>
        </w:rPr>
        <w:t xml:space="preserve"> и усилил требования к использованию территорий, расположенных в границах зон затопления и подтопления.</w:t>
      </w:r>
    </w:p>
    <w:p w14:paraId="39063D4F" w14:textId="77777777" w:rsidR="00AA098A" w:rsidRPr="00D41D08" w:rsidRDefault="00AA098A" w:rsidP="00AA098A">
      <w:pPr>
        <w:pStyle w:val="a3"/>
        <w:jc w:val="both"/>
        <w:rPr>
          <w:color w:val="000000" w:themeColor="text1"/>
        </w:rPr>
      </w:pPr>
    </w:p>
    <w:p w14:paraId="3F6AD0FF" w14:textId="77777777" w:rsidR="00AA098A" w:rsidRPr="00D41D08" w:rsidRDefault="00AA098A" w:rsidP="00AA098A">
      <w:pPr>
        <w:pStyle w:val="a3"/>
        <w:jc w:val="both"/>
        <w:rPr>
          <w:color w:val="000000" w:themeColor="text1"/>
        </w:rPr>
      </w:pPr>
      <w:r w:rsidRPr="00D41D08">
        <w:rPr>
          <w:color w:val="000000" w:themeColor="text1"/>
        </w:rPr>
        <w:t xml:space="preserve">Главное изменение касается капитального строительства. Ранее закон допускал строительство объектов капитального строительства в таких зонах при условии, что они были обеспечены сооружениями и (или) методами инженерной защиты от негативного воздействия вод. </w:t>
      </w:r>
      <w:hyperlink r:id="rId8" w:history="1">
        <w:r w:rsidRPr="00D41D08">
          <w:rPr>
            <w:rStyle w:val="a4"/>
            <w:color w:val="000000" w:themeColor="text1"/>
            <w:u w:val="none"/>
          </w:rPr>
          <w:t>Новая редакция статьи 67.1 Водного кодекса</w:t>
        </w:r>
      </w:hyperlink>
      <w:r w:rsidRPr="00D41D08">
        <w:rPr>
          <w:color w:val="000000" w:themeColor="text1"/>
        </w:rPr>
        <w:t xml:space="preserve"> устанавливает более строгий подход: в границах зон затопления и подтопления запрещено строительство объектов капитального строительства.</w:t>
      </w:r>
    </w:p>
    <w:p w14:paraId="7FE0A38B" w14:textId="77777777" w:rsidR="00AA098A" w:rsidRPr="00D41D08" w:rsidRDefault="00AA098A" w:rsidP="00AA098A">
      <w:pPr>
        <w:pStyle w:val="a3"/>
        <w:jc w:val="both"/>
        <w:rPr>
          <w:color w:val="000000" w:themeColor="text1"/>
        </w:rPr>
      </w:pPr>
    </w:p>
    <w:p w14:paraId="67EF14B0" w14:textId="77777777" w:rsidR="00AA098A" w:rsidRPr="00D41D08" w:rsidRDefault="00AA098A" w:rsidP="00AA098A">
      <w:pPr>
        <w:pStyle w:val="a3"/>
        <w:jc w:val="both"/>
        <w:rPr>
          <w:color w:val="000000" w:themeColor="text1"/>
        </w:rPr>
      </w:pPr>
      <w:r w:rsidRPr="00D41D08">
        <w:rPr>
          <w:color w:val="000000" w:themeColor="text1"/>
        </w:rPr>
        <w:t>Исключение предусмотрено только для сооружений инженерной защиты, которые непосредственно предназначены для предотвращения негативного воздействия вод на территории и объекты. К таким решениям относятся, в частности, водоограждающие дамбы, берегоукрепительные сооружения, искусственное повышение поверхности территории, использование свайных фундаментов и иные средства инженерной защиты.</w:t>
      </w:r>
    </w:p>
    <w:p w14:paraId="59F99441" w14:textId="77777777" w:rsidR="00AA098A" w:rsidRPr="00D41D08" w:rsidRDefault="00AA098A" w:rsidP="00AA098A">
      <w:pPr>
        <w:pStyle w:val="a3"/>
        <w:jc w:val="both"/>
        <w:rPr>
          <w:color w:val="000000" w:themeColor="text1"/>
        </w:rPr>
      </w:pPr>
    </w:p>
    <w:p w14:paraId="56B9662A" w14:textId="77777777" w:rsidR="00AA098A" w:rsidRPr="00D41D08" w:rsidRDefault="00D556D4" w:rsidP="00AA098A">
      <w:pPr>
        <w:pStyle w:val="a3"/>
        <w:jc w:val="both"/>
        <w:rPr>
          <w:color w:val="000000" w:themeColor="text1"/>
        </w:rPr>
      </w:pPr>
      <w:hyperlink r:id="rId9" w:history="1">
        <w:r w:rsidR="00AA098A" w:rsidRPr="00D41D08">
          <w:rPr>
            <w:rStyle w:val="a4"/>
            <w:color w:val="000000" w:themeColor="text1"/>
            <w:u w:val="none"/>
          </w:rPr>
          <w:t>Закон также дополнил статью 67.1 Водного кодекса</w:t>
        </w:r>
      </w:hyperlink>
      <w:r w:rsidR="00AA098A" w:rsidRPr="00D41D08">
        <w:rPr>
          <w:color w:val="000000" w:themeColor="text1"/>
        </w:rPr>
        <w:t xml:space="preserve"> новым запретом: в границах зон затопления и подтопления нельзя осваивать территории в целях последующего строительства объектов капитального строительства. Это означает, что ограничение распространяется не только на сам процесс возведения здания или сооружения, но и на подготовку земельного участка под капитальную застройку.</w:t>
      </w:r>
    </w:p>
    <w:p w14:paraId="21915052" w14:textId="77777777" w:rsidR="00AA098A" w:rsidRPr="00D41D08" w:rsidRDefault="00AA098A" w:rsidP="00AA098A">
      <w:pPr>
        <w:pStyle w:val="a3"/>
        <w:jc w:val="both"/>
        <w:rPr>
          <w:color w:val="000000" w:themeColor="text1"/>
        </w:rPr>
      </w:pPr>
    </w:p>
    <w:p w14:paraId="5EC32551" w14:textId="77777777" w:rsidR="00AA098A" w:rsidRPr="00D41D08" w:rsidRDefault="00AA098A" w:rsidP="00AA098A">
      <w:pPr>
        <w:pStyle w:val="a3"/>
        <w:jc w:val="both"/>
        <w:rPr>
          <w:color w:val="000000" w:themeColor="text1"/>
        </w:rPr>
      </w:pPr>
      <w:r w:rsidRPr="00D41D08">
        <w:rPr>
          <w:color w:val="000000" w:themeColor="text1"/>
        </w:rPr>
        <w:t>Одновременно уточнены положения об инженерной защите. Её могут осуществлять органы государственной власти, органы местного самоуправления и правообладатели земельных участков — в пределах своих полномочий и границ соответствующих территорий. При этом наличие инженерных решений не следует автоматически рассматривать как основание для строительства обычного жилого, производственного, торгового или иного объекта капитального строительства внутри действующей зоны затопления или подтопления.</w:t>
      </w:r>
    </w:p>
    <w:p w14:paraId="7F7B71DC" w14:textId="77777777" w:rsidR="00AA098A" w:rsidRPr="00D41D08" w:rsidRDefault="00AA098A" w:rsidP="00AA098A">
      <w:pPr>
        <w:pStyle w:val="a3"/>
        <w:jc w:val="both"/>
        <w:rPr>
          <w:color w:val="000000" w:themeColor="text1"/>
        </w:rPr>
      </w:pPr>
    </w:p>
    <w:p w14:paraId="3DCBF22B" w14:textId="77777777" w:rsidR="00AA098A" w:rsidRPr="00D41D08" w:rsidRDefault="00AA098A" w:rsidP="00AA098A">
      <w:pPr>
        <w:pStyle w:val="a3"/>
        <w:jc w:val="both"/>
        <w:rPr>
          <w:color w:val="000000" w:themeColor="text1"/>
        </w:rPr>
      </w:pPr>
      <w:r w:rsidRPr="00D41D08">
        <w:rPr>
          <w:color w:val="000000" w:themeColor="text1"/>
        </w:rPr>
        <w:t>Отдельное положение закона вступит в силу 01.01.2027 года. Уполномоченный федеральный орган исполнительной власти получит полномочие утверждать методику определения вреда от негативного воздействия вод и оценки эффективности мероприятий по его предотвращению и ликвидации последствий.</w:t>
      </w:r>
    </w:p>
    <w:p w14:paraId="54162F2A" w14:textId="77777777" w:rsidR="00AA098A" w:rsidRPr="00D41D08" w:rsidRDefault="00AA098A" w:rsidP="00AA098A">
      <w:pPr>
        <w:pStyle w:val="a3"/>
        <w:jc w:val="both"/>
        <w:rPr>
          <w:color w:val="000000" w:themeColor="text1"/>
        </w:rPr>
      </w:pPr>
    </w:p>
    <w:p w14:paraId="721C4C66" w14:textId="4A3EB5A7" w:rsidR="00AA098A" w:rsidRPr="00D41D08" w:rsidRDefault="00AA098A" w:rsidP="00AA098A">
      <w:pPr>
        <w:pStyle w:val="a3"/>
        <w:jc w:val="both"/>
        <w:rPr>
          <w:color w:val="000000" w:themeColor="text1"/>
        </w:rPr>
      </w:pPr>
      <w:r w:rsidRPr="00D41D08">
        <w:rPr>
          <w:color w:val="000000" w:themeColor="text1"/>
        </w:rPr>
        <w:t>Новые правила требуют от собственников земельных участков, инвесторов, застройщиков и органов местного самоуправления более внимательной предварительной проверки территорий. Перед приобретением участка, подготовкой схемы расположения</w:t>
      </w:r>
      <w:r w:rsidR="00D556D4">
        <w:rPr>
          <w:color w:val="000000" w:themeColor="text1"/>
        </w:rPr>
        <w:t xml:space="preserve"> земельного участка на кадастровом плане территории</w:t>
      </w:r>
      <w:r w:rsidRPr="00D41D08">
        <w:rPr>
          <w:color w:val="000000" w:themeColor="text1"/>
        </w:rPr>
        <w:t>, разработкой проекта планиров</w:t>
      </w:r>
      <w:bookmarkStart w:id="0" w:name="_GoBack"/>
      <w:bookmarkEnd w:id="0"/>
      <w:r w:rsidRPr="00D41D08">
        <w:rPr>
          <w:color w:val="000000" w:themeColor="text1"/>
        </w:rPr>
        <w:t>ки</w:t>
      </w:r>
      <w:r w:rsidR="00D556D4">
        <w:rPr>
          <w:color w:val="000000" w:themeColor="text1"/>
        </w:rPr>
        <w:t xml:space="preserve"> территории</w:t>
      </w:r>
      <w:r w:rsidRPr="00D41D08">
        <w:rPr>
          <w:color w:val="000000" w:themeColor="text1"/>
        </w:rPr>
        <w:t xml:space="preserve">, изменением вида разрешённого использования или началом проектирования необходимо </w:t>
      </w:r>
      <w:r w:rsidRPr="00D41D08">
        <w:rPr>
          <w:color w:val="000000" w:themeColor="text1"/>
        </w:rPr>
        <w:lastRenderedPageBreak/>
        <w:t>установить, находится ли территория в официально определённых границах зоны затопления или подтопления.</w:t>
      </w:r>
    </w:p>
    <w:p w14:paraId="579825F2" w14:textId="77777777" w:rsidR="00AA098A" w:rsidRPr="00D41D08" w:rsidRDefault="00AA098A" w:rsidP="00AA098A">
      <w:pPr>
        <w:pStyle w:val="a3"/>
        <w:jc w:val="both"/>
        <w:rPr>
          <w:color w:val="000000" w:themeColor="text1"/>
        </w:rPr>
      </w:pPr>
      <w:r w:rsidRPr="00D41D08">
        <w:rPr>
          <w:color w:val="000000" w:themeColor="text1"/>
        </w:rPr>
        <w:t>Рекомендуем учитывать сведения Единого государственного реестра недвижимости (ЕГРН), карты зон с особыми условиями использования территории, документы территориального планирования и правила землепользования и застройки ещё на стадии выбора земельного участка. Такой подход позволяет своевременно выявить ограничения, снизить риски отказа в согласовании или выдаче разрешительной документации и выбрать корректный механизм дальнейшего использования территории.</w:t>
      </w:r>
    </w:p>
    <w:p w14:paraId="449EE523" w14:textId="77777777" w:rsidR="007F777E" w:rsidRPr="00D41D08" w:rsidRDefault="007F777E" w:rsidP="007F777E">
      <w:pPr>
        <w:pStyle w:val="docdata"/>
        <w:spacing w:before="0" w:beforeAutospacing="0" w:after="0" w:afterAutospacing="0"/>
        <w:jc w:val="right"/>
        <w:rPr>
          <w:rFonts w:ascii="Tahoma" w:hAnsi="Tahoma" w:cs="Tahoma"/>
          <w:i/>
          <w:color w:val="000000" w:themeColor="text1"/>
          <w:sz w:val="18"/>
          <w:szCs w:val="18"/>
        </w:rPr>
      </w:pPr>
    </w:p>
    <w:p w14:paraId="1EC93A92" w14:textId="77777777" w:rsidR="007F777E" w:rsidRPr="00D41D08" w:rsidRDefault="007F777E" w:rsidP="007F777E">
      <w:pPr>
        <w:pStyle w:val="docdata"/>
        <w:spacing w:before="0" w:beforeAutospacing="0" w:after="0" w:afterAutospacing="0"/>
        <w:jc w:val="right"/>
        <w:rPr>
          <w:rFonts w:ascii="Tahoma" w:hAnsi="Tahoma" w:cs="Tahoma"/>
          <w:i/>
          <w:color w:val="000000" w:themeColor="text1"/>
          <w:sz w:val="18"/>
          <w:szCs w:val="18"/>
        </w:rPr>
      </w:pPr>
    </w:p>
    <w:p w14:paraId="28D8B820" w14:textId="77777777" w:rsidR="007F777E" w:rsidRPr="00D41D08" w:rsidRDefault="007F777E" w:rsidP="007F777E">
      <w:pPr>
        <w:pStyle w:val="docdata"/>
        <w:spacing w:before="0" w:beforeAutospacing="0" w:after="0" w:afterAutospacing="0"/>
        <w:jc w:val="right"/>
        <w:rPr>
          <w:rFonts w:ascii="Tahoma" w:hAnsi="Tahoma" w:cs="Tahoma"/>
          <w:i/>
          <w:color w:val="000000" w:themeColor="text1"/>
          <w:sz w:val="18"/>
          <w:szCs w:val="18"/>
        </w:rPr>
      </w:pPr>
      <w:r w:rsidRPr="00D41D08">
        <w:rPr>
          <w:rFonts w:ascii="Tahoma" w:hAnsi="Tahoma" w:cs="Tahoma"/>
          <w:i/>
          <w:color w:val="000000" w:themeColor="text1"/>
          <w:sz w:val="18"/>
          <w:szCs w:val="18"/>
        </w:rPr>
        <w:t>Мельникова Н.А.</w:t>
      </w:r>
    </w:p>
    <w:p w14:paraId="1D1C693C" w14:textId="77777777" w:rsidR="007F777E" w:rsidRPr="00D41D08" w:rsidRDefault="007F777E" w:rsidP="007F777E">
      <w:pPr>
        <w:pStyle w:val="a5"/>
        <w:spacing w:before="0" w:beforeAutospacing="0" w:after="0" w:afterAutospacing="0"/>
        <w:jc w:val="right"/>
        <w:rPr>
          <w:color w:val="000000" w:themeColor="text1"/>
        </w:rPr>
      </w:pPr>
      <w:r w:rsidRPr="00D41D08">
        <w:rPr>
          <w:rFonts w:ascii="Tahoma" w:hAnsi="Tahoma" w:cs="Tahoma"/>
          <w:i/>
          <w:iCs/>
          <w:color w:val="000000" w:themeColor="text1"/>
          <w:sz w:val="18"/>
          <w:szCs w:val="18"/>
        </w:rPr>
        <w:t>Компания "Региональный кадастровый центр"</w:t>
      </w:r>
    </w:p>
    <w:p w14:paraId="65FDF2D1" w14:textId="77777777" w:rsidR="007F777E" w:rsidRPr="00302AC7" w:rsidRDefault="007F777E" w:rsidP="007F777E">
      <w:pPr>
        <w:pStyle w:val="a5"/>
        <w:spacing w:before="0" w:beforeAutospacing="0" w:after="0" w:afterAutospacing="0"/>
        <w:jc w:val="right"/>
        <w:rPr>
          <w:color w:val="000000" w:themeColor="text1"/>
        </w:rPr>
      </w:pPr>
      <w:r w:rsidRPr="00D41D08">
        <w:rPr>
          <w:rFonts w:ascii="Tahoma" w:hAnsi="Tahoma" w:cs="Tahoma"/>
          <w:i/>
          <w:iCs/>
          <w:color w:val="000000" w:themeColor="text1"/>
          <w:sz w:val="18"/>
          <w:szCs w:val="18"/>
        </w:rPr>
        <w:t>г. Оренбург</w:t>
      </w:r>
    </w:p>
    <w:p w14:paraId="5A593BD4" w14:textId="77777777" w:rsidR="007F777E" w:rsidRDefault="007F777E" w:rsidP="007F777E">
      <w:pPr>
        <w:pStyle w:val="a3"/>
        <w:jc w:val="both"/>
        <w:rPr>
          <w:b/>
          <w:color w:val="000000" w:themeColor="text1"/>
        </w:rPr>
      </w:pPr>
    </w:p>
    <w:p w14:paraId="2C59102E" w14:textId="77777777" w:rsidR="007F777E" w:rsidRDefault="007F777E" w:rsidP="007F777E">
      <w:pPr>
        <w:pStyle w:val="a3"/>
        <w:jc w:val="both"/>
      </w:pPr>
    </w:p>
    <w:sectPr w:rsidR="007F777E" w:rsidSect="009F48D2">
      <w:pgSz w:w="11906" w:h="16838"/>
      <w:pgMar w:top="567" w:right="567" w:bottom="567"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173AEE" w16cid:durableId="2E401858"/>
  <w16cid:commentId w16cid:paraId="5494426C" w16cid:durableId="2E40187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B75BCA"/>
    <w:multiLevelType w:val="hybridMultilevel"/>
    <w:tmpl w:val="23748990"/>
    <w:lvl w:ilvl="0" w:tplc="81DC6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EF951BB"/>
    <w:multiLevelType w:val="hybridMultilevel"/>
    <w:tmpl w:val="749CF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FA10F0"/>
    <w:multiLevelType w:val="hybridMultilevel"/>
    <w:tmpl w:val="E5D6EE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8727950"/>
    <w:multiLevelType w:val="hybridMultilevel"/>
    <w:tmpl w:val="8C169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8E41234"/>
    <w:multiLevelType w:val="hybridMultilevel"/>
    <w:tmpl w:val="FCE810D0"/>
    <w:lvl w:ilvl="0" w:tplc="81DC6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E583F26"/>
    <w:multiLevelType w:val="hybridMultilevel"/>
    <w:tmpl w:val="D23CE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64D0EFF"/>
    <w:multiLevelType w:val="hybridMultilevel"/>
    <w:tmpl w:val="239ED8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453D28"/>
    <w:multiLevelType w:val="hybridMultilevel"/>
    <w:tmpl w:val="E98C3E78"/>
    <w:lvl w:ilvl="0" w:tplc="81DC6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591B6E"/>
    <w:multiLevelType w:val="hybridMultilevel"/>
    <w:tmpl w:val="F320AE22"/>
    <w:lvl w:ilvl="0" w:tplc="81DC6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1C972DB"/>
    <w:multiLevelType w:val="hybridMultilevel"/>
    <w:tmpl w:val="2514B86A"/>
    <w:lvl w:ilvl="0" w:tplc="81DC6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1"/>
  </w:num>
  <w:num w:numId="6">
    <w:abstractNumId w:val="8"/>
  </w:num>
  <w:num w:numId="7">
    <w:abstractNumId w:val="7"/>
  </w:num>
  <w:num w:numId="8">
    <w:abstractNumId w:val="4"/>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4E1"/>
    <w:rsid w:val="000F4D14"/>
    <w:rsid w:val="001415AA"/>
    <w:rsid w:val="001B4A16"/>
    <w:rsid w:val="005C74E1"/>
    <w:rsid w:val="00652A52"/>
    <w:rsid w:val="00707FBC"/>
    <w:rsid w:val="007D0686"/>
    <w:rsid w:val="007F43F1"/>
    <w:rsid w:val="007F777E"/>
    <w:rsid w:val="00921F92"/>
    <w:rsid w:val="009F48D2"/>
    <w:rsid w:val="00AA098A"/>
    <w:rsid w:val="00AE289F"/>
    <w:rsid w:val="00B0538D"/>
    <w:rsid w:val="00BF474E"/>
    <w:rsid w:val="00CB6192"/>
    <w:rsid w:val="00CC6221"/>
    <w:rsid w:val="00D41D08"/>
    <w:rsid w:val="00D556D4"/>
    <w:rsid w:val="00D61C9C"/>
    <w:rsid w:val="00E2497C"/>
    <w:rsid w:val="00F34054"/>
    <w:rsid w:val="00F65403"/>
    <w:rsid w:val="00F8729D"/>
    <w:rsid w:val="00FC1A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A58AC"/>
  <w15:chartTrackingRefBased/>
  <w15:docId w15:val="{9EAED11F-4A8D-45C7-A208-D1618C2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C74E1"/>
    <w:pPr>
      <w:spacing w:after="0" w:line="240" w:lineRule="auto"/>
    </w:pPr>
  </w:style>
  <w:style w:type="character" w:styleId="a4">
    <w:name w:val="Hyperlink"/>
    <w:basedOn w:val="a0"/>
    <w:uiPriority w:val="99"/>
    <w:unhideWhenUsed/>
    <w:rsid w:val="00652A52"/>
    <w:rPr>
      <w:color w:val="0563C1" w:themeColor="hyperlink"/>
      <w:u w:val="single"/>
    </w:rPr>
  </w:style>
  <w:style w:type="paragraph" w:styleId="a5">
    <w:name w:val="Normal (Web)"/>
    <w:basedOn w:val="a"/>
    <w:uiPriority w:val="99"/>
    <w:unhideWhenUsed/>
    <w:rsid w:val="007F777E"/>
    <w:pPr>
      <w:spacing w:before="100" w:beforeAutospacing="1" w:after="100" w:afterAutospacing="1" w:line="240" w:lineRule="auto"/>
    </w:pPr>
    <w:rPr>
      <w:rFonts w:ascii="Times New Roman" w:eastAsia="Times New Roman" w:hAnsi="Times New Roman" w:cs="Times New Roman"/>
      <w:szCs w:val="24"/>
      <w:lang w:eastAsia="ru-RU"/>
    </w:rPr>
  </w:style>
  <w:style w:type="paragraph" w:customStyle="1" w:styleId="docdata">
    <w:name w:val="docdata"/>
    <w:aliases w:val="docy,v5,2041,bqiaagaaeyqcaaagiaiaaangbwaabw4haaaaaaaaaaaaaaaaaaaaaaaaaaaaaaaaaaaaaaaaaaaaaaaaaaaaaaaaaaaaaaaaaaaaaaaaaaaaaaaaaaaaaaaaaaaaaaaaaaaaaaaaaaaaaaaaaaaaaaaaaaaaaaaaaaaaaaaaaaaaaaaaaaaaaaaaaaaaaaaaaaaaaaaaaaaaaaaaaaaaaaaaaaaaaaaaaaaaaaaa"/>
    <w:basedOn w:val="a"/>
    <w:rsid w:val="007F777E"/>
    <w:pPr>
      <w:spacing w:before="100" w:beforeAutospacing="1" w:after="100" w:afterAutospacing="1" w:line="240" w:lineRule="auto"/>
    </w:pPr>
    <w:rPr>
      <w:rFonts w:ascii="Times New Roman" w:eastAsia="Times New Roman" w:hAnsi="Times New Roman" w:cs="Times New Roman"/>
      <w:szCs w:val="24"/>
      <w:lang w:eastAsia="ru-RU"/>
    </w:rPr>
  </w:style>
  <w:style w:type="character" w:styleId="a6">
    <w:name w:val="annotation reference"/>
    <w:basedOn w:val="a0"/>
    <w:uiPriority w:val="99"/>
    <w:semiHidden/>
    <w:unhideWhenUsed/>
    <w:rsid w:val="00AE289F"/>
    <w:rPr>
      <w:sz w:val="16"/>
      <w:szCs w:val="16"/>
    </w:rPr>
  </w:style>
  <w:style w:type="paragraph" w:styleId="a7">
    <w:name w:val="annotation text"/>
    <w:basedOn w:val="a"/>
    <w:link w:val="a8"/>
    <w:uiPriority w:val="99"/>
    <w:semiHidden/>
    <w:unhideWhenUsed/>
    <w:rsid w:val="00AE289F"/>
    <w:pPr>
      <w:spacing w:line="240" w:lineRule="auto"/>
    </w:pPr>
    <w:rPr>
      <w:sz w:val="20"/>
      <w:szCs w:val="20"/>
    </w:rPr>
  </w:style>
  <w:style w:type="character" w:customStyle="1" w:styleId="a8">
    <w:name w:val="Текст примечания Знак"/>
    <w:basedOn w:val="a0"/>
    <w:link w:val="a7"/>
    <w:uiPriority w:val="99"/>
    <w:semiHidden/>
    <w:rsid w:val="00AE289F"/>
    <w:rPr>
      <w:sz w:val="20"/>
      <w:szCs w:val="20"/>
    </w:rPr>
  </w:style>
  <w:style w:type="paragraph" w:styleId="a9">
    <w:name w:val="annotation subject"/>
    <w:basedOn w:val="a7"/>
    <w:next w:val="a7"/>
    <w:link w:val="aa"/>
    <w:uiPriority w:val="99"/>
    <w:semiHidden/>
    <w:unhideWhenUsed/>
    <w:rsid w:val="00AE289F"/>
    <w:rPr>
      <w:b/>
      <w:bCs/>
    </w:rPr>
  </w:style>
  <w:style w:type="character" w:customStyle="1" w:styleId="aa">
    <w:name w:val="Тема примечания Знак"/>
    <w:basedOn w:val="a8"/>
    <w:link w:val="a9"/>
    <w:uiPriority w:val="99"/>
    <w:semiHidden/>
    <w:rsid w:val="00AE289F"/>
    <w:rPr>
      <w:b/>
      <w:bCs/>
      <w:sz w:val="20"/>
      <w:szCs w:val="20"/>
    </w:rPr>
  </w:style>
  <w:style w:type="paragraph" w:styleId="ab">
    <w:name w:val="Balloon Text"/>
    <w:basedOn w:val="a"/>
    <w:link w:val="ac"/>
    <w:uiPriority w:val="99"/>
    <w:semiHidden/>
    <w:unhideWhenUsed/>
    <w:rsid w:val="00AE289F"/>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E28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kc56.ru/documents/7609" TargetMode="External"/><Relationship Id="rId3" Type="http://schemas.openxmlformats.org/officeDocument/2006/relationships/settings" Target="settings.xml"/><Relationship Id="rId7" Type="http://schemas.openxmlformats.org/officeDocument/2006/relationships/hyperlink" Target="https://rkc56.ru/documents/10?shortcut=2"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kc56.ru/documents/7609"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kc56.ru/documents/76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3026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Александровна Мельникова</dc:creator>
  <cp:keywords/>
  <dc:description/>
  <cp:lastModifiedBy>Наталья Александровна Мельникова</cp:lastModifiedBy>
  <cp:revision>2</cp:revision>
  <dcterms:created xsi:type="dcterms:W3CDTF">2026-08-31T11:39:00Z</dcterms:created>
  <dcterms:modified xsi:type="dcterms:W3CDTF">2026-08-31T11:39:00Z</dcterms:modified>
</cp:coreProperties>
</file>